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C6E" w:rsidRDefault="00695C6E" w:rsidP="00695C6E">
      <w:pPr>
        <w:pStyle w:val="a3"/>
        <w:tabs>
          <w:tab w:val="left" w:pos="1418"/>
          <w:tab w:val="left" w:pos="1701"/>
          <w:tab w:val="left" w:pos="1985"/>
        </w:tabs>
        <w:ind w:left="0" w:firstLine="709"/>
        <w:jc w:val="right"/>
        <w:outlineLvl w:val="0"/>
        <w:rPr>
          <w:rFonts w:ascii="PT Astra Serif" w:hAnsi="PT Astra Serif"/>
        </w:rPr>
      </w:pPr>
      <w:bookmarkStart w:id="0" w:name="_GoBack"/>
      <w:bookmarkEnd w:id="0"/>
      <w:r w:rsidRPr="00695C6E">
        <w:rPr>
          <w:rFonts w:ascii="PT Astra Serif" w:hAnsi="PT Astra Serif" w:cs="Calibri"/>
          <w:bCs/>
        </w:rPr>
        <w:t xml:space="preserve">Приложение </w:t>
      </w:r>
      <w:r w:rsidRPr="00695C6E">
        <w:rPr>
          <w:rFonts w:ascii="PT Astra Serif" w:hAnsi="PT Astra Serif"/>
        </w:rPr>
        <w:t xml:space="preserve">к Основным направлениям </w:t>
      </w:r>
    </w:p>
    <w:p w:rsidR="00695C6E" w:rsidRDefault="00695C6E" w:rsidP="00695C6E">
      <w:pPr>
        <w:pStyle w:val="a3"/>
        <w:tabs>
          <w:tab w:val="left" w:pos="1418"/>
          <w:tab w:val="left" w:pos="1701"/>
          <w:tab w:val="left" w:pos="1985"/>
        </w:tabs>
        <w:ind w:left="0" w:firstLine="709"/>
        <w:jc w:val="right"/>
        <w:outlineLvl w:val="0"/>
        <w:rPr>
          <w:rFonts w:ascii="PT Astra Serif" w:hAnsi="PT Astra Serif"/>
        </w:rPr>
      </w:pPr>
      <w:r w:rsidRPr="00695C6E">
        <w:rPr>
          <w:rFonts w:ascii="PT Astra Serif" w:hAnsi="PT Astra Serif"/>
        </w:rPr>
        <w:t xml:space="preserve">налоговой политики Томской области на 2026 год </w:t>
      </w:r>
    </w:p>
    <w:p w:rsidR="00695C6E" w:rsidRPr="00695C6E" w:rsidRDefault="00695C6E" w:rsidP="00695C6E">
      <w:pPr>
        <w:pStyle w:val="a3"/>
        <w:tabs>
          <w:tab w:val="left" w:pos="1418"/>
          <w:tab w:val="left" w:pos="1701"/>
          <w:tab w:val="left" w:pos="1985"/>
        </w:tabs>
        <w:ind w:left="0" w:firstLine="709"/>
        <w:jc w:val="right"/>
        <w:outlineLvl w:val="0"/>
        <w:rPr>
          <w:rFonts w:ascii="PT Astra Serif" w:hAnsi="PT Astra Serif"/>
        </w:rPr>
      </w:pPr>
      <w:r w:rsidRPr="00695C6E">
        <w:rPr>
          <w:rFonts w:ascii="PT Astra Serif" w:hAnsi="PT Astra Serif"/>
        </w:rPr>
        <w:t>и на плановый период 2027 и 2028 годов</w:t>
      </w:r>
    </w:p>
    <w:p w:rsidR="00252779" w:rsidRDefault="00252779" w:rsidP="00695C6E">
      <w:pPr>
        <w:jc w:val="right"/>
      </w:pPr>
    </w:p>
    <w:p w:rsidR="00695C6E" w:rsidRDefault="00695C6E" w:rsidP="00695C6E">
      <w:pPr>
        <w:jc w:val="center"/>
        <w:rPr>
          <w:rFonts w:ascii="PT Astra Serif" w:hAnsi="PT Astra Serif" w:cs="Calibri"/>
          <w:b/>
          <w:bCs/>
          <w:sz w:val="28"/>
          <w:szCs w:val="20"/>
        </w:rPr>
      </w:pPr>
      <w:r w:rsidRPr="009B2F2F">
        <w:rPr>
          <w:rFonts w:ascii="PT Astra Serif" w:hAnsi="PT Astra Serif" w:cs="Calibri"/>
          <w:b/>
          <w:bCs/>
          <w:sz w:val="28"/>
          <w:szCs w:val="20"/>
        </w:rPr>
        <w:t>Итоги оценки эффективности налоговых расходов Томской области за 2023 год</w:t>
      </w:r>
    </w:p>
    <w:p w:rsidR="00695C6E" w:rsidRDefault="00695C6E" w:rsidP="00695C6E">
      <w:pPr>
        <w:jc w:val="center"/>
        <w:rPr>
          <w:rFonts w:ascii="PT Astra Serif" w:hAnsi="PT Astra Serif" w:cs="Calibri"/>
          <w:b/>
          <w:bCs/>
          <w:sz w:val="28"/>
          <w:szCs w:val="20"/>
        </w:rPr>
      </w:pP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1"/>
        <w:gridCol w:w="764"/>
        <w:gridCol w:w="1144"/>
        <w:gridCol w:w="1293"/>
        <w:gridCol w:w="1727"/>
        <w:gridCol w:w="7545"/>
      </w:tblGrid>
      <w:tr w:rsidR="00695C6E" w:rsidRPr="00695C6E" w:rsidTr="00695C6E">
        <w:trPr>
          <w:cantSplit/>
          <w:trHeight w:val="20"/>
          <w:tblHeader/>
        </w:trPr>
        <w:tc>
          <w:tcPr>
            <w:tcW w:w="1064" w:type="pct"/>
            <w:vMerge w:val="restart"/>
            <w:shd w:val="clear" w:color="auto" w:fill="auto"/>
            <w:vAlign w:val="center"/>
          </w:tcPr>
          <w:p w:rsidR="00695C6E" w:rsidRPr="00695C6E" w:rsidRDefault="00695C6E" w:rsidP="007B6AC6">
            <w:pPr>
              <w:jc w:val="center"/>
              <w:rPr>
                <w:rFonts w:ascii="PT Astra Serif" w:hAnsi="PT Astra Serif" w:cs="Calibri"/>
                <w:b/>
                <w:sz w:val="22"/>
                <w:szCs w:val="22"/>
              </w:rPr>
            </w:pPr>
            <w:r w:rsidRPr="00695C6E">
              <w:rPr>
                <w:rFonts w:ascii="PT Astra Serif" w:hAnsi="PT Astra Serif" w:cs="Calibri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241" w:type="pct"/>
            <w:vMerge w:val="restar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jc w:val="center"/>
              <w:rPr>
                <w:rFonts w:ascii="PT Astra Serif" w:hAnsi="PT Astra Serif" w:cs="Calibri"/>
                <w:b/>
                <w:sz w:val="22"/>
                <w:szCs w:val="22"/>
              </w:rPr>
            </w:pPr>
            <w:r w:rsidRPr="00695C6E">
              <w:rPr>
                <w:rFonts w:ascii="PT Astra Serif" w:hAnsi="PT Astra Serif" w:cs="Calibri"/>
                <w:b/>
                <w:sz w:val="22"/>
                <w:szCs w:val="22"/>
              </w:rPr>
              <w:t>Кол-во</w:t>
            </w:r>
          </w:p>
        </w:tc>
        <w:tc>
          <w:tcPr>
            <w:tcW w:w="1314" w:type="pct"/>
            <w:gridSpan w:val="3"/>
            <w:shd w:val="clear" w:color="auto" w:fill="auto"/>
            <w:vAlign w:val="center"/>
          </w:tcPr>
          <w:p w:rsidR="00695C6E" w:rsidRPr="00695C6E" w:rsidRDefault="00695C6E" w:rsidP="007B6AC6">
            <w:pPr>
              <w:jc w:val="center"/>
              <w:rPr>
                <w:rFonts w:ascii="PT Astra Serif" w:hAnsi="PT Astra Serif" w:cs="Calibri"/>
                <w:b/>
                <w:sz w:val="22"/>
                <w:szCs w:val="22"/>
              </w:rPr>
            </w:pPr>
            <w:r w:rsidRPr="00695C6E">
              <w:rPr>
                <w:rFonts w:ascii="PT Astra Serif" w:hAnsi="PT Astra Serif" w:cs="Calibri"/>
                <w:b/>
                <w:sz w:val="22"/>
                <w:szCs w:val="22"/>
              </w:rPr>
              <w:t>Объем налоговых льгот,  тыс. рублей</w:t>
            </w:r>
          </w:p>
        </w:tc>
        <w:tc>
          <w:tcPr>
            <w:tcW w:w="2381" w:type="pct"/>
            <w:vMerge w:val="restart"/>
            <w:shd w:val="clear" w:color="auto" w:fill="auto"/>
            <w:vAlign w:val="center"/>
          </w:tcPr>
          <w:p w:rsidR="00695C6E" w:rsidRPr="00695C6E" w:rsidRDefault="00695C6E" w:rsidP="007B6AC6">
            <w:pPr>
              <w:jc w:val="center"/>
              <w:rPr>
                <w:rFonts w:ascii="PT Astra Serif" w:hAnsi="PT Astra Serif" w:cs="Calibri"/>
                <w:b/>
                <w:sz w:val="22"/>
                <w:szCs w:val="22"/>
              </w:rPr>
            </w:pPr>
            <w:r w:rsidRPr="00695C6E">
              <w:rPr>
                <w:rFonts w:ascii="PT Astra Serif" w:hAnsi="PT Astra Serif" w:cs="Calibri"/>
                <w:b/>
                <w:sz w:val="22"/>
                <w:szCs w:val="22"/>
              </w:rPr>
              <w:t>Примечания, в том числе мероприятия по отмене неэффективных налоговых льгот </w:t>
            </w:r>
          </w:p>
        </w:tc>
      </w:tr>
      <w:tr w:rsidR="00695C6E" w:rsidRPr="00695C6E" w:rsidTr="00695C6E">
        <w:trPr>
          <w:cantSplit/>
          <w:trHeight w:val="20"/>
          <w:tblHeader/>
        </w:trPr>
        <w:tc>
          <w:tcPr>
            <w:tcW w:w="1064" w:type="pct"/>
            <w:vMerge/>
            <w:shd w:val="clear" w:color="auto" w:fill="auto"/>
            <w:vAlign w:val="center"/>
          </w:tcPr>
          <w:p w:rsidR="00695C6E" w:rsidRPr="00695C6E" w:rsidRDefault="00695C6E" w:rsidP="007B6AC6">
            <w:pPr>
              <w:rPr>
                <w:rFonts w:ascii="PT Astra Serif" w:hAnsi="PT Astra Serif" w:cs="Calibri"/>
                <w:sz w:val="22"/>
                <w:szCs w:val="22"/>
              </w:rPr>
            </w:pPr>
          </w:p>
        </w:tc>
        <w:tc>
          <w:tcPr>
            <w:tcW w:w="241" w:type="pct"/>
            <w:vMerge/>
            <w:shd w:val="clear" w:color="auto" w:fill="auto"/>
            <w:vAlign w:val="center"/>
          </w:tcPr>
          <w:p w:rsidR="00695C6E" w:rsidRPr="00695C6E" w:rsidRDefault="00695C6E" w:rsidP="007B6AC6">
            <w:pPr>
              <w:rPr>
                <w:rFonts w:ascii="PT Astra Serif" w:hAnsi="PT Astra Serif" w:cs="Calibri"/>
                <w:sz w:val="22"/>
                <w:szCs w:val="22"/>
              </w:rPr>
            </w:pPr>
          </w:p>
        </w:tc>
        <w:tc>
          <w:tcPr>
            <w:tcW w:w="36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695C6E">
              <w:rPr>
                <w:rFonts w:ascii="PT Astra Serif" w:hAnsi="PT Astra Serif" w:cs="Calibri"/>
                <w:sz w:val="22"/>
                <w:szCs w:val="22"/>
              </w:rPr>
              <w:t>всего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695C6E" w:rsidRPr="00695C6E" w:rsidRDefault="00695C6E" w:rsidP="00695C6E">
            <w:pPr>
              <w:ind w:left="-57" w:right="-57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695C6E">
              <w:rPr>
                <w:rFonts w:ascii="PT Astra Serif" w:hAnsi="PT Astra Serif" w:cs="Calibri"/>
                <w:sz w:val="22"/>
                <w:szCs w:val="22"/>
              </w:rPr>
              <w:t>социальные</w:t>
            </w:r>
          </w:p>
        </w:tc>
        <w:tc>
          <w:tcPr>
            <w:tcW w:w="545" w:type="pct"/>
            <w:shd w:val="clear" w:color="auto" w:fill="auto"/>
            <w:noWrap/>
            <w:vAlign w:val="center"/>
          </w:tcPr>
          <w:p w:rsidR="00695C6E" w:rsidRPr="00695C6E" w:rsidRDefault="00695C6E" w:rsidP="00695C6E">
            <w:pPr>
              <w:ind w:left="-108" w:right="-57" w:firstLine="108"/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  <w:r w:rsidRPr="00695C6E">
              <w:rPr>
                <w:rFonts w:ascii="PT Astra Serif" w:hAnsi="PT Astra Serif" w:cs="Calibri"/>
                <w:sz w:val="22"/>
                <w:szCs w:val="22"/>
              </w:rPr>
              <w:t>стимулирующие</w:t>
            </w:r>
          </w:p>
        </w:tc>
        <w:tc>
          <w:tcPr>
            <w:tcW w:w="2381" w:type="pct"/>
            <w:vMerge/>
            <w:shd w:val="clear" w:color="auto" w:fill="auto"/>
            <w:noWrap/>
            <w:vAlign w:val="bottom"/>
          </w:tcPr>
          <w:p w:rsidR="00695C6E" w:rsidRPr="00695C6E" w:rsidRDefault="00695C6E" w:rsidP="007B6AC6">
            <w:pPr>
              <w:jc w:val="center"/>
              <w:rPr>
                <w:rFonts w:ascii="PT Astra Serif" w:hAnsi="PT Astra Serif" w:cs="Calibri"/>
                <w:sz w:val="22"/>
                <w:szCs w:val="22"/>
              </w:rPr>
            </w:pPr>
          </w:p>
        </w:tc>
      </w:tr>
      <w:tr w:rsidR="00695C6E" w:rsidRPr="00695C6E" w:rsidTr="00695C6E">
        <w:trPr>
          <w:cantSplit/>
          <w:trHeight w:val="20"/>
        </w:trPr>
        <w:tc>
          <w:tcPr>
            <w:tcW w:w="1064" w:type="pct"/>
            <w:shd w:val="clear" w:color="auto" w:fill="auto"/>
            <w:vAlign w:val="center"/>
          </w:tcPr>
          <w:p w:rsidR="00695C6E" w:rsidRPr="00695C6E" w:rsidRDefault="00695C6E" w:rsidP="007B6AC6">
            <w:pPr>
              <w:jc w:val="center"/>
              <w:rPr>
                <w:rFonts w:ascii="PT Astra Serif" w:hAnsi="PT Astra Serif" w:cs="Calibri"/>
                <w:b/>
                <w:bCs/>
              </w:rPr>
            </w:pPr>
            <w:r w:rsidRPr="00695C6E">
              <w:rPr>
                <w:rFonts w:ascii="PT Astra Serif" w:hAnsi="PT Astra Serif" w:cs="Calibri"/>
                <w:b/>
                <w:bCs/>
              </w:rPr>
              <w:t xml:space="preserve">Льготы по налогу на имущество организаций всего, в </w:t>
            </w:r>
            <w:proofErr w:type="spellStart"/>
            <w:r w:rsidRPr="00695C6E">
              <w:rPr>
                <w:rFonts w:ascii="PT Astra Serif" w:hAnsi="PT Astra Serif" w:cs="Calibri"/>
                <w:b/>
                <w:bCs/>
              </w:rPr>
              <w:t>т.ч</w:t>
            </w:r>
            <w:proofErr w:type="spellEnd"/>
            <w:r w:rsidRPr="00695C6E">
              <w:rPr>
                <w:rFonts w:ascii="PT Astra Serif" w:hAnsi="PT Astra Serif" w:cs="Calibri"/>
                <w:b/>
                <w:bCs/>
              </w:rPr>
              <w:t>.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jc w:val="center"/>
              <w:rPr>
                <w:rFonts w:ascii="PT Astra Serif" w:hAnsi="PT Astra Serif" w:cs="Calibri"/>
                <w:b/>
                <w:bCs/>
              </w:rPr>
            </w:pPr>
            <w:r w:rsidRPr="00695C6E">
              <w:rPr>
                <w:rFonts w:ascii="PT Astra Serif" w:hAnsi="PT Astra Serif" w:cs="Calibri"/>
                <w:b/>
                <w:bCs/>
              </w:rPr>
              <w:t>21</w:t>
            </w:r>
          </w:p>
        </w:tc>
        <w:tc>
          <w:tcPr>
            <w:tcW w:w="36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jc w:val="center"/>
              <w:rPr>
                <w:rFonts w:ascii="PT Astra Serif" w:hAnsi="PT Astra Serif" w:cs="Calibri"/>
                <w:b/>
                <w:bCs/>
              </w:rPr>
            </w:pPr>
            <w:r w:rsidRPr="00695C6E">
              <w:rPr>
                <w:rFonts w:ascii="PT Astra Serif" w:hAnsi="PT Astra Serif" w:cs="Calibri"/>
                <w:b/>
                <w:bCs/>
              </w:rPr>
              <w:t>420 685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jc w:val="center"/>
              <w:rPr>
                <w:rFonts w:ascii="PT Astra Serif" w:hAnsi="PT Astra Serif" w:cs="Calibri"/>
                <w:b/>
                <w:bCs/>
              </w:rPr>
            </w:pPr>
            <w:r w:rsidRPr="00695C6E">
              <w:rPr>
                <w:rFonts w:ascii="PT Astra Serif" w:hAnsi="PT Astra Serif" w:cs="Calibri"/>
                <w:b/>
                <w:bCs/>
              </w:rPr>
              <w:t>20 880</w:t>
            </w:r>
          </w:p>
        </w:tc>
        <w:tc>
          <w:tcPr>
            <w:tcW w:w="545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jc w:val="center"/>
              <w:rPr>
                <w:rFonts w:ascii="PT Astra Serif" w:hAnsi="PT Astra Serif" w:cs="Calibri"/>
                <w:b/>
                <w:bCs/>
              </w:rPr>
            </w:pPr>
            <w:r w:rsidRPr="00695C6E">
              <w:rPr>
                <w:rFonts w:ascii="PT Astra Serif" w:hAnsi="PT Astra Serif" w:cs="Calibri"/>
                <w:b/>
                <w:bCs/>
              </w:rPr>
              <w:t>399 805</w:t>
            </w:r>
          </w:p>
        </w:tc>
        <w:tc>
          <w:tcPr>
            <w:tcW w:w="2381" w:type="pct"/>
            <w:shd w:val="clear" w:color="auto" w:fill="auto"/>
            <w:noWrap/>
            <w:vAlign w:val="bottom"/>
          </w:tcPr>
          <w:p w:rsidR="00695C6E" w:rsidRPr="00695C6E" w:rsidRDefault="00695C6E" w:rsidP="007B6AC6">
            <w:pPr>
              <w:jc w:val="center"/>
              <w:rPr>
                <w:rFonts w:ascii="PT Astra Serif" w:hAnsi="PT Astra Serif" w:cs="Calibri"/>
                <w:b/>
                <w:bCs/>
              </w:rPr>
            </w:pPr>
            <w:r w:rsidRPr="00695C6E">
              <w:rPr>
                <w:rFonts w:ascii="PT Astra Serif" w:hAnsi="PT Astra Serif" w:cs="Calibri"/>
                <w:b/>
                <w:bCs/>
              </w:rPr>
              <w:t> </w:t>
            </w:r>
          </w:p>
        </w:tc>
      </w:tr>
      <w:tr w:rsidR="00695C6E" w:rsidRPr="00695C6E" w:rsidTr="00695C6E">
        <w:trPr>
          <w:cantSplit/>
          <w:trHeight w:val="20"/>
        </w:trPr>
        <w:tc>
          <w:tcPr>
            <w:tcW w:w="1064" w:type="pct"/>
            <w:shd w:val="clear" w:color="auto" w:fill="auto"/>
            <w:noWrap/>
            <w:vAlign w:val="bottom"/>
          </w:tcPr>
          <w:p w:rsidR="00695C6E" w:rsidRPr="00695C6E" w:rsidRDefault="00695C6E" w:rsidP="007B6AC6">
            <w:pPr>
              <w:ind w:left="-57" w:right="-57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 xml:space="preserve">Эффективные, в </w:t>
            </w:r>
            <w:proofErr w:type="spellStart"/>
            <w:r w:rsidRPr="00695C6E">
              <w:rPr>
                <w:rFonts w:ascii="PT Astra Serif" w:hAnsi="PT Astra Serif" w:cs="Calibri"/>
              </w:rPr>
              <w:t>т.ч</w:t>
            </w:r>
            <w:proofErr w:type="spellEnd"/>
            <w:r w:rsidRPr="00695C6E">
              <w:rPr>
                <w:rFonts w:ascii="PT Astra Serif" w:hAnsi="PT Astra Serif" w:cs="Calibri"/>
              </w:rPr>
              <w:t>.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20</w:t>
            </w:r>
          </w:p>
        </w:tc>
        <w:tc>
          <w:tcPr>
            <w:tcW w:w="36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420 685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20 880</w:t>
            </w:r>
          </w:p>
        </w:tc>
        <w:tc>
          <w:tcPr>
            <w:tcW w:w="545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399 805</w:t>
            </w:r>
          </w:p>
        </w:tc>
        <w:tc>
          <w:tcPr>
            <w:tcW w:w="2381" w:type="pct"/>
            <w:shd w:val="clear" w:color="auto" w:fill="auto"/>
            <w:noWrap/>
            <w:vAlign w:val="bottom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 </w:t>
            </w:r>
          </w:p>
        </w:tc>
      </w:tr>
      <w:tr w:rsidR="00695C6E" w:rsidRPr="00695C6E" w:rsidTr="00695C6E">
        <w:trPr>
          <w:cantSplit/>
          <w:trHeight w:val="20"/>
        </w:trPr>
        <w:tc>
          <w:tcPr>
            <w:tcW w:w="1064" w:type="pct"/>
            <w:shd w:val="clear" w:color="auto" w:fill="auto"/>
            <w:vAlign w:val="center"/>
          </w:tcPr>
          <w:p w:rsidR="00695C6E" w:rsidRPr="00695C6E" w:rsidRDefault="00695C6E" w:rsidP="007B6AC6">
            <w:pPr>
              <w:ind w:left="-57" w:right="-57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имеют отрицательный бюджетный эффект*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  <w:i/>
              </w:rPr>
            </w:pPr>
            <w:r w:rsidRPr="00695C6E">
              <w:rPr>
                <w:rFonts w:ascii="PT Astra Serif" w:hAnsi="PT Astra Serif" w:cs="Calibri"/>
                <w:i/>
              </w:rPr>
              <w:t>12</w:t>
            </w:r>
          </w:p>
        </w:tc>
        <w:tc>
          <w:tcPr>
            <w:tcW w:w="36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  <w:i/>
              </w:rPr>
            </w:pPr>
            <w:r w:rsidRPr="00695C6E">
              <w:rPr>
                <w:rFonts w:ascii="PT Astra Serif" w:hAnsi="PT Astra Serif" w:cs="Calibri"/>
                <w:i/>
              </w:rPr>
              <w:t>381 204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 xml:space="preserve">не </w:t>
            </w:r>
            <w:proofErr w:type="spellStart"/>
            <w:r w:rsidRPr="00695C6E">
              <w:rPr>
                <w:rFonts w:ascii="PT Astra Serif" w:hAnsi="PT Astra Serif" w:cs="Calibri"/>
              </w:rPr>
              <w:t>рассчиты-вается</w:t>
            </w:r>
            <w:proofErr w:type="spellEnd"/>
          </w:p>
        </w:tc>
        <w:tc>
          <w:tcPr>
            <w:tcW w:w="545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  <w:i/>
              </w:rPr>
            </w:pPr>
            <w:r w:rsidRPr="00695C6E">
              <w:rPr>
                <w:rFonts w:ascii="PT Astra Serif" w:hAnsi="PT Astra Serif" w:cs="Calibri"/>
                <w:i/>
              </w:rPr>
              <w:t>381 204</w:t>
            </w:r>
          </w:p>
        </w:tc>
        <w:tc>
          <w:tcPr>
            <w:tcW w:w="2381" w:type="pct"/>
            <w:shd w:val="clear" w:color="auto" w:fill="auto"/>
            <w:vAlign w:val="center"/>
          </w:tcPr>
          <w:p w:rsidR="00695C6E" w:rsidRPr="00695C6E" w:rsidRDefault="00695C6E" w:rsidP="007B6AC6">
            <w:pPr>
              <w:ind w:left="-57" w:right="-57"/>
              <w:jc w:val="both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 xml:space="preserve">Льготы по итогам 2023 года имеют отрицательный бюджетный эффект. Однако в соответствии с Постановлением Правительства РФ от 22.06.2019 №796 признаны эффективными, поскольку соответствуют остальным установленным критериям оценки: востребованы, соответствуют целям государственной программы и обеспечивают достижения её показателей, при этом применение альтернативного метода государственной поддержки увеличит расходы бюджета. </w:t>
            </w:r>
          </w:p>
        </w:tc>
      </w:tr>
      <w:tr w:rsidR="00695C6E" w:rsidRPr="00695C6E" w:rsidTr="00695C6E">
        <w:trPr>
          <w:cantSplit/>
          <w:trHeight w:val="20"/>
        </w:trPr>
        <w:tc>
          <w:tcPr>
            <w:tcW w:w="1064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неэффективные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1</w:t>
            </w:r>
          </w:p>
        </w:tc>
        <w:tc>
          <w:tcPr>
            <w:tcW w:w="36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0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0</w:t>
            </w:r>
          </w:p>
        </w:tc>
        <w:tc>
          <w:tcPr>
            <w:tcW w:w="545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0</w:t>
            </w:r>
          </w:p>
        </w:tc>
        <w:tc>
          <w:tcPr>
            <w:tcW w:w="2381" w:type="pct"/>
            <w:shd w:val="clear" w:color="auto" w:fill="auto"/>
          </w:tcPr>
          <w:p w:rsidR="00695C6E" w:rsidRPr="00695C6E" w:rsidRDefault="00695C6E" w:rsidP="007B6AC6">
            <w:pPr>
              <w:ind w:left="-57" w:right="-57"/>
              <w:jc w:val="both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Льгота для организаций-инвесторов, осуществлявших добычу сырой нефти на территории Томской области не востребована - будет отменена с 01.01.2025.</w:t>
            </w:r>
          </w:p>
        </w:tc>
      </w:tr>
      <w:tr w:rsidR="00695C6E" w:rsidRPr="00695C6E" w:rsidTr="00695C6E">
        <w:trPr>
          <w:cantSplit/>
          <w:trHeight w:val="815"/>
        </w:trPr>
        <w:tc>
          <w:tcPr>
            <w:tcW w:w="1064" w:type="pct"/>
            <w:shd w:val="clear" w:color="auto" w:fill="auto"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  <w:b/>
                <w:bCs/>
              </w:rPr>
            </w:pPr>
            <w:r w:rsidRPr="00695C6E">
              <w:rPr>
                <w:rFonts w:ascii="PT Astra Serif" w:hAnsi="PT Astra Serif" w:cs="Calibri"/>
                <w:b/>
                <w:bCs/>
              </w:rPr>
              <w:t xml:space="preserve">Льготы по налогу на прибыль организаций, в </w:t>
            </w:r>
            <w:proofErr w:type="spellStart"/>
            <w:r w:rsidRPr="00695C6E">
              <w:rPr>
                <w:rFonts w:ascii="PT Astra Serif" w:hAnsi="PT Astra Serif" w:cs="Calibri"/>
                <w:b/>
                <w:bCs/>
              </w:rPr>
              <w:t>т.ч</w:t>
            </w:r>
            <w:proofErr w:type="spellEnd"/>
            <w:r w:rsidRPr="00695C6E">
              <w:rPr>
                <w:rFonts w:ascii="PT Astra Serif" w:hAnsi="PT Astra Serif" w:cs="Calibri"/>
                <w:b/>
                <w:bCs/>
              </w:rPr>
              <w:t>.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  <w:b/>
                <w:bCs/>
              </w:rPr>
            </w:pPr>
            <w:r w:rsidRPr="00695C6E">
              <w:rPr>
                <w:rFonts w:ascii="PT Astra Serif" w:hAnsi="PT Astra Serif" w:cs="Calibri"/>
                <w:b/>
                <w:bCs/>
              </w:rPr>
              <w:t>13</w:t>
            </w:r>
          </w:p>
        </w:tc>
        <w:tc>
          <w:tcPr>
            <w:tcW w:w="36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  <w:b/>
                <w:bCs/>
              </w:rPr>
            </w:pPr>
            <w:r w:rsidRPr="00695C6E">
              <w:rPr>
                <w:rFonts w:ascii="PT Astra Serif" w:hAnsi="PT Astra Serif" w:cs="Calibri"/>
                <w:b/>
                <w:bCs/>
              </w:rPr>
              <w:t>86 171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  <w:b/>
                <w:bCs/>
              </w:rPr>
            </w:pPr>
            <w:r w:rsidRPr="00695C6E">
              <w:rPr>
                <w:rFonts w:ascii="PT Astra Serif" w:hAnsi="PT Astra Serif" w:cs="Calibri"/>
                <w:b/>
                <w:bCs/>
              </w:rPr>
              <w:t>15</w:t>
            </w:r>
          </w:p>
        </w:tc>
        <w:tc>
          <w:tcPr>
            <w:tcW w:w="545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  <w:b/>
                <w:bCs/>
              </w:rPr>
            </w:pPr>
            <w:r w:rsidRPr="00695C6E">
              <w:rPr>
                <w:rFonts w:ascii="PT Astra Serif" w:hAnsi="PT Astra Serif" w:cs="Calibri"/>
                <w:b/>
                <w:bCs/>
              </w:rPr>
              <w:t>86 156</w:t>
            </w:r>
          </w:p>
        </w:tc>
        <w:tc>
          <w:tcPr>
            <w:tcW w:w="2381" w:type="pct"/>
            <w:shd w:val="clear" w:color="auto" w:fill="auto"/>
            <w:noWrap/>
            <w:vAlign w:val="bottom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  <w:b/>
                <w:bCs/>
              </w:rPr>
            </w:pPr>
            <w:r w:rsidRPr="00695C6E">
              <w:rPr>
                <w:rFonts w:ascii="PT Astra Serif" w:hAnsi="PT Astra Serif" w:cs="Calibri"/>
                <w:b/>
                <w:bCs/>
              </w:rPr>
              <w:t> </w:t>
            </w:r>
          </w:p>
        </w:tc>
      </w:tr>
      <w:tr w:rsidR="00695C6E" w:rsidRPr="00695C6E" w:rsidTr="00695C6E">
        <w:trPr>
          <w:cantSplit/>
          <w:trHeight w:val="20"/>
        </w:trPr>
        <w:tc>
          <w:tcPr>
            <w:tcW w:w="1064" w:type="pct"/>
            <w:shd w:val="clear" w:color="auto" w:fill="auto"/>
            <w:noWrap/>
            <w:vAlign w:val="bottom"/>
          </w:tcPr>
          <w:p w:rsidR="00695C6E" w:rsidRPr="00695C6E" w:rsidRDefault="00695C6E" w:rsidP="007B6AC6">
            <w:pPr>
              <w:ind w:left="-57" w:right="-57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 xml:space="preserve">Эффективные, в </w:t>
            </w:r>
            <w:proofErr w:type="spellStart"/>
            <w:r w:rsidRPr="00695C6E">
              <w:rPr>
                <w:rFonts w:ascii="PT Astra Serif" w:hAnsi="PT Astra Serif" w:cs="Calibri"/>
              </w:rPr>
              <w:t>т.ч</w:t>
            </w:r>
            <w:proofErr w:type="spellEnd"/>
            <w:r w:rsidRPr="00695C6E">
              <w:rPr>
                <w:rFonts w:ascii="PT Astra Serif" w:hAnsi="PT Astra Serif" w:cs="Calibri"/>
              </w:rPr>
              <w:t>.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8</w:t>
            </w:r>
          </w:p>
        </w:tc>
        <w:tc>
          <w:tcPr>
            <w:tcW w:w="36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86 171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15</w:t>
            </w:r>
          </w:p>
        </w:tc>
        <w:tc>
          <w:tcPr>
            <w:tcW w:w="545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86 156</w:t>
            </w:r>
          </w:p>
        </w:tc>
        <w:tc>
          <w:tcPr>
            <w:tcW w:w="2381" w:type="pct"/>
            <w:shd w:val="clear" w:color="auto" w:fill="auto"/>
            <w:noWrap/>
            <w:vAlign w:val="bottom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 </w:t>
            </w:r>
          </w:p>
        </w:tc>
      </w:tr>
      <w:tr w:rsidR="00695C6E" w:rsidRPr="00695C6E" w:rsidTr="00695C6E">
        <w:trPr>
          <w:cantSplit/>
          <w:trHeight w:val="20"/>
        </w:trPr>
        <w:tc>
          <w:tcPr>
            <w:tcW w:w="1064" w:type="pct"/>
            <w:shd w:val="clear" w:color="auto" w:fill="auto"/>
            <w:vAlign w:val="center"/>
          </w:tcPr>
          <w:p w:rsidR="00695C6E" w:rsidRPr="00695C6E" w:rsidRDefault="00695C6E" w:rsidP="007B6AC6">
            <w:pPr>
              <w:ind w:left="-57" w:right="-57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имеют отрицательный бюджетный эффект*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  <w:i/>
              </w:rPr>
            </w:pPr>
            <w:r w:rsidRPr="00695C6E">
              <w:rPr>
                <w:rFonts w:ascii="PT Astra Serif" w:hAnsi="PT Astra Serif" w:cs="Calibri"/>
                <w:i/>
              </w:rPr>
              <w:t>1</w:t>
            </w:r>
          </w:p>
        </w:tc>
        <w:tc>
          <w:tcPr>
            <w:tcW w:w="36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  <w:i/>
              </w:rPr>
            </w:pPr>
            <w:r w:rsidRPr="00695C6E">
              <w:rPr>
                <w:rFonts w:ascii="PT Astra Serif" w:hAnsi="PT Astra Serif" w:cs="Calibri"/>
                <w:i/>
              </w:rPr>
              <w:t>944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 xml:space="preserve">не </w:t>
            </w:r>
            <w:proofErr w:type="spellStart"/>
            <w:r w:rsidRPr="00695C6E">
              <w:rPr>
                <w:rFonts w:ascii="PT Astra Serif" w:hAnsi="PT Astra Serif" w:cs="Calibri"/>
              </w:rPr>
              <w:t>рассчиты-вается</w:t>
            </w:r>
            <w:proofErr w:type="spellEnd"/>
          </w:p>
        </w:tc>
        <w:tc>
          <w:tcPr>
            <w:tcW w:w="545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  <w:i/>
              </w:rPr>
            </w:pPr>
            <w:r w:rsidRPr="00695C6E">
              <w:rPr>
                <w:rFonts w:ascii="PT Astra Serif" w:hAnsi="PT Astra Serif" w:cs="Calibri"/>
                <w:i/>
              </w:rPr>
              <w:t>944</w:t>
            </w:r>
          </w:p>
        </w:tc>
        <w:tc>
          <w:tcPr>
            <w:tcW w:w="2381" w:type="pct"/>
            <w:shd w:val="clear" w:color="auto" w:fill="auto"/>
            <w:vAlign w:val="center"/>
          </w:tcPr>
          <w:p w:rsidR="00695C6E" w:rsidRPr="00695C6E" w:rsidRDefault="00695C6E" w:rsidP="007B6AC6">
            <w:pPr>
              <w:ind w:left="-57" w:right="-57"/>
              <w:jc w:val="both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 xml:space="preserve">Льготы по итогам 2023 года имеют отрицательный бюджетный эффект. Однако в соответствии с  Постановлением Правительства РФ от 22.06.2019 № 796 признаны эффективными, поскольку соответствуют остальным установленным критериям оценки: востребованы, соответствуют целям государственной программы и обеспечивают достижения её  показателей, при этом применение альтернативного метода государственной поддержки увеличит расходы бюджета. </w:t>
            </w:r>
          </w:p>
        </w:tc>
      </w:tr>
      <w:tr w:rsidR="00695C6E" w:rsidRPr="00695C6E" w:rsidTr="00695C6E">
        <w:trPr>
          <w:cantSplit/>
          <w:trHeight w:val="2890"/>
        </w:trPr>
        <w:tc>
          <w:tcPr>
            <w:tcW w:w="1064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lastRenderedPageBreak/>
              <w:t>неэффективные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4</w:t>
            </w:r>
          </w:p>
        </w:tc>
        <w:tc>
          <w:tcPr>
            <w:tcW w:w="36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0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0</w:t>
            </w:r>
          </w:p>
        </w:tc>
        <w:tc>
          <w:tcPr>
            <w:tcW w:w="545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0</w:t>
            </w:r>
          </w:p>
        </w:tc>
        <w:tc>
          <w:tcPr>
            <w:tcW w:w="2381" w:type="pct"/>
            <w:shd w:val="clear" w:color="auto" w:fill="auto"/>
            <w:vAlign w:val="center"/>
          </w:tcPr>
          <w:p w:rsidR="00695C6E" w:rsidRPr="00695C6E" w:rsidRDefault="00695C6E" w:rsidP="007B6AC6">
            <w:pPr>
              <w:ind w:left="-57" w:right="-57"/>
              <w:jc w:val="both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Льготы не востребованы и отменены с 01.01.2025:</w:t>
            </w:r>
          </w:p>
          <w:p w:rsidR="00695C6E" w:rsidRPr="00695C6E" w:rsidRDefault="00695C6E" w:rsidP="007B6AC6">
            <w:pPr>
              <w:ind w:left="-57" w:right="-57"/>
              <w:jc w:val="both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1. льгота благотворительным организациям;</w:t>
            </w:r>
          </w:p>
          <w:p w:rsidR="00695C6E" w:rsidRPr="00695C6E" w:rsidRDefault="00695C6E" w:rsidP="007B6AC6">
            <w:pPr>
              <w:ind w:left="-57" w:right="-57"/>
              <w:jc w:val="both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2. льгота общественным организациям инвалидов;</w:t>
            </w:r>
          </w:p>
          <w:p w:rsidR="00695C6E" w:rsidRPr="00695C6E" w:rsidRDefault="00695C6E" w:rsidP="007B6AC6">
            <w:pPr>
              <w:ind w:left="-57" w:right="-57"/>
              <w:jc w:val="both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3. льгота организациям, в которых работают лица, осужденные к исправительным работам и(или) освобожденные из мест лишения свободы;</w:t>
            </w:r>
          </w:p>
          <w:p w:rsidR="00695C6E" w:rsidRPr="00695C6E" w:rsidRDefault="00695C6E" w:rsidP="007B6AC6">
            <w:pPr>
              <w:ind w:left="-57" w:right="-57"/>
              <w:jc w:val="both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4. льгота субъектам инвестиционной деятельности, осуществляющим инвестиционную деятельность в соответствии с инвестиционным проектом и являющиеся резидентами промышленного парка в Томской области.</w:t>
            </w:r>
          </w:p>
        </w:tc>
      </w:tr>
      <w:tr w:rsidR="00695C6E" w:rsidRPr="00695C6E" w:rsidTr="00695C6E">
        <w:trPr>
          <w:cantSplit/>
          <w:trHeight w:val="20"/>
        </w:trPr>
        <w:tc>
          <w:tcPr>
            <w:tcW w:w="1064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оценка эффективности не проводилась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1</w:t>
            </w:r>
          </w:p>
        </w:tc>
        <w:tc>
          <w:tcPr>
            <w:tcW w:w="36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0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0</w:t>
            </w:r>
          </w:p>
        </w:tc>
        <w:tc>
          <w:tcPr>
            <w:tcW w:w="545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0</w:t>
            </w:r>
          </w:p>
        </w:tc>
        <w:tc>
          <w:tcPr>
            <w:tcW w:w="2381" w:type="pct"/>
            <w:shd w:val="clear" w:color="auto" w:fill="auto"/>
            <w:vAlign w:val="center"/>
          </w:tcPr>
          <w:p w:rsidR="00695C6E" w:rsidRPr="00695C6E" w:rsidRDefault="00695C6E" w:rsidP="007B6AC6">
            <w:pPr>
              <w:ind w:left="-57" w:right="-57"/>
              <w:jc w:val="both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Инвестиционный налоговый вычет введен в 2024 году.</w:t>
            </w:r>
          </w:p>
        </w:tc>
      </w:tr>
      <w:tr w:rsidR="00695C6E" w:rsidRPr="00695C6E" w:rsidTr="00695C6E">
        <w:trPr>
          <w:cantSplit/>
          <w:trHeight w:val="542"/>
        </w:trPr>
        <w:tc>
          <w:tcPr>
            <w:tcW w:w="1064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  <w:b/>
                <w:bCs/>
              </w:rPr>
            </w:pPr>
            <w:r w:rsidRPr="00695C6E">
              <w:rPr>
                <w:rFonts w:ascii="PT Astra Serif" w:hAnsi="PT Astra Serif" w:cs="Calibri"/>
                <w:b/>
                <w:bCs/>
              </w:rPr>
              <w:t>Транспортный налог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  <w:b/>
                <w:bCs/>
              </w:rPr>
            </w:pPr>
            <w:r w:rsidRPr="00695C6E">
              <w:rPr>
                <w:rFonts w:ascii="PT Astra Serif" w:hAnsi="PT Astra Serif" w:cs="Calibri"/>
                <w:b/>
                <w:bCs/>
              </w:rPr>
              <w:t>11</w:t>
            </w:r>
          </w:p>
        </w:tc>
        <w:tc>
          <w:tcPr>
            <w:tcW w:w="36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  <w:b/>
                <w:bCs/>
              </w:rPr>
            </w:pPr>
            <w:r w:rsidRPr="00695C6E">
              <w:rPr>
                <w:rFonts w:ascii="PT Astra Serif" w:hAnsi="PT Astra Serif" w:cs="Calibri"/>
                <w:b/>
                <w:bCs/>
              </w:rPr>
              <w:t>12 495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  <w:b/>
                <w:bCs/>
              </w:rPr>
            </w:pPr>
            <w:r w:rsidRPr="00695C6E">
              <w:rPr>
                <w:rFonts w:ascii="PT Astra Serif" w:hAnsi="PT Astra Serif" w:cs="Calibri"/>
                <w:b/>
                <w:bCs/>
              </w:rPr>
              <w:t>12 430</w:t>
            </w:r>
          </w:p>
        </w:tc>
        <w:tc>
          <w:tcPr>
            <w:tcW w:w="545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  <w:b/>
                <w:bCs/>
              </w:rPr>
            </w:pPr>
            <w:r w:rsidRPr="00695C6E">
              <w:rPr>
                <w:rFonts w:ascii="PT Astra Serif" w:hAnsi="PT Astra Serif" w:cs="Calibri"/>
                <w:b/>
                <w:bCs/>
              </w:rPr>
              <w:t>65</w:t>
            </w:r>
          </w:p>
        </w:tc>
        <w:tc>
          <w:tcPr>
            <w:tcW w:w="2381" w:type="pct"/>
            <w:shd w:val="clear" w:color="auto" w:fill="auto"/>
            <w:noWrap/>
            <w:vAlign w:val="bottom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  <w:b/>
                <w:bCs/>
              </w:rPr>
            </w:pPr>
            <w:r w:rsidRPr="00695C6E">
              <w:rPr>
                <w:rFonts w:ascii="PT Astra Serif" w:hAnsi="PT Astra Serif" w:cs="Calibri"/>
                <w:b/>
                <w:bCs/>
              </w:rPr>
              <w:t> </w:t>
            </w:r>
          </w:p>
        </w:tc>
      </w:tr>
      <w:tr w:rsidR="00695C6E" w:rsidRPr="00695C6E" w:rsidTr="00695C6E">
        <w:trPr>
          <w:cantSplit/>
          <w:trHeight w:val="20"/>
        </w:trPr>
        <w:tc>
          <w:tcPr>
            <w:tcW w:w="1064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эффективные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10</w:t>
            </w:r>
          </w:p>
        </w:tc>
        <w:tc>
          <w:tcPr>
            <w:tcW w:w="36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12 495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12 430</w:t>
            </w:r>
          </w:p>
        </w:tc>
        <w:tc>
          <w:tcPr>
            <w:tcW w:w="545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65</w:t>
            </w:r>
          </w:p>
        </w:tc>
        <w:tc>
          <w:tcPr>
            <w:tcW w:w="2381" w:type="pct"/>
            <w:vMerge w:val="restart"/>
            <w:shd w:val="clear" w:color="auto" w:fill="auto"/>
            <w:vAlign w:val="center"/>
          </w:tcPr>
          <w:p w:rsidR="00695C6E" w:rsidRPr="00695C6E" w:rsidRDefault="00695C6E" w:rsidP="007B6AC6">
            <w:pPr>
              <w:ind w:left="-57" w:right="-57"/>
              <w:jc w:val="both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 xml:space="preserve">Льготы по итогам 2023 года признаны эффективными по  установленным Постановлением Правительства РФ от 22.06.2019 №796 критериям оценки: востребованы, соответствуют целям государственной программы и обеспечивают достижения её  показателей, при этом применение альтернативного метода государственной поддержки увеличит расходы бюджета. </w:t>
            </w:r>
          </w:p>
        </w:tc>
      </w:tr>
      <w:tr w:rsidR="00695C6E" w:rsidRPr="00695C6E" w:rsidTr="00695C6E">
        <w:trPr>
          <w:cantSplit/>
          <w:trHeight w:val="1687"/>
        </w:trPr>
        <w:tc>
          <w:tcPr>
            <w:tcW w:w="1064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неэффективные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0</w:t>
            </w:r>
          </w:p>
        </w:tc>
        <w:tc>
          <w:tcPr>
            <w:tcW w:w="36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0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0</w:t>
            </w:r>
          </w:p>
        </w:tc>
        <w:tc>
          <w:tcPr>
            <w:tcW w:w="545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0</w:t>
            </w:r>
          </w:p>
        </w:tc>
        <w:tc>
          <w:tcPr>
            <w:tcW w:w="2381" w:type="pct"/>
            <w:vMerge/>
            <w:shd w:val="clear" w:color="auto" w:fill="auto"/>
            <w:vAlign w:val="center"/>
          </w:tcPr>
          <w:p w:rsidR="00695C6E" w:rsidRPr="00695C6E" w:rsidRDefault="00695C6E" w:rsidP="007B6AC6">
            <w:pPr>
              <w:ind w:left="-57" w:right="-57"/>
              <w:rPr>
                <w:rFonts w:ascii="PT Astra Serif" w:hAnsi="PT Astra Serif" w:cs="Calibri"/>
              </w:rPr>
            </w:pPr>
          </w:p>
        </w:tc>
      </w:tr>
      <w:tr w:rsidR="00695C6E" w:rsidRPr="00695C6E" w:rsidTr="00695C6E">
        <w:trPr>
          <w:cantSplit/>
          <w:trHeight w:val="20"/>
        </w:trPr>
        <w:tc>
          <w:tcPr>
            <w:tcW w:w="1064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оценка эффективности не проводилась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1</w:t>
            </w:r>
          </w:p>
        </w:tc>
        <w:tc>
          <w:tcPr>
            <w:tcW w:w="36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0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0</w:t>
            </w:r>
          </w:p>
        </w:tc>
        <w:tc>
          <w:tcPr>
            <w:tcW w:w="545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0</w:t>
            </w:r>
          </w:p>
        </w:tc>
        <w:tc>
          <w:tcPr>
            <w:tcW w:w="2381" w:type="pct"/>
            <w:shd w:val="clear" w:color="auto" w:fill="auto"/>
            <w:vAlign w:val="center"/>
          </w:tcPr>
          <w:p w:rsidR="00695C6E" w:rsidRPr="00695C6E" w:rsidRDefault="00695C6E" w:rsidP="007B6AC6">
            <w:pPr>
              <w:ind w:left="-57" w:right="-57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Льгота введена в 2024 году. Дата начала действия льготы с 2022 года.</w:t>
            </w:r>
          </w:p>
        </w:tc>
      </w:tr>
      <w:tr w:rsidR="00695C6E" w:rsidRPr="00695C6E" w:rsidTr="00695C6E">
        <w:trPr>
          <w:cantSplit/>
          <w:trHeight w:val="453"/>
        </w:trPr>
        <w:tc>
          <w:tcPr>
            <w:tcW w:w="1064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  <w:b/>
                <w:bCs/>
              </w:rPr>
            </w:pPr>
            <w:r w:rsidRPr="00695C6E">
              <w:rPr>
                <w:rFonts w:ascii="PT Astra Serif" w:hAnsi="PT Astra Serif" w:cs="Calibri"/>
                <w:b/>
                <w:bCs/>
              </w:rPr>
              <w:t>ПСН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  <w:b/>
                <w:bCs/>
              </w:rPr>
            </w:pPr>
            <w:r w:rsidRPr="00695C6E">
              <w:rPr>
                <w:rFonts w:ascii="PT Astra Serif" w:hAnsi="PT Astra Serif" w:cs="Calibri"/>
                <w:b/>
                <w:bCs/>
              </w:rPr>
              <w:t>1</w:t>
            </w:r>
          </w:p>
        </w:tc>
        <w:tc>
          <w:tcPr>
            <w:tcW w:w="36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  <w:b/>
                <w:bCs/>
              </w:rPr>
            </w:pPr>
            <w:r w:rsidRPr="00695C6E">
              <w:rPr>
                <w:rFonts w:ascii="PT Astra Serif" w:hAnsi="PT Astra Serif" w:cs="Calibri"/>
                <w:b/>
                <w:bCs/>
              </w:rPr>
              <w:t>204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  <w:b/>
                <w:bCs/>
              </w:rPr>
            </w:pPr>
            <w:r w:rsidRPr="00695C6E">
              <w:rPr>
                <w:rFonts w:ascii="PT Astra Serif" w:hAnsi="PT Astra Serif" w:cs="Calibri"/>
                <w:b/>
                <w:bCs/>
              </w:rPr>
              <w:t>0</w:t>
            </w:r>
          </w:p>
        </w:tc>
        <w:tc>
          <w:tcPr>
            <w:tcW w:w="545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  <w:b/>
                <w:bCs/>
              </w:rPr>
            </w:pPr>
            <w:r w:rsidRPr="00695C6E">
              <w:rPr>
                <w:rFonts w:ascii="PT Astra Serif" w:hAnsi="PT Astra Serif" w:cs="Calibri"/>
                <w:b/>
                <w:bCs/>
              </w:rPr>
              <w:t>204</w:t>
            </w:r>
          </w:p>
        </w:tc>
        <w:tc>
          <w:tcPr>
            <w:tcW w:w="2381" w:type="pct"/>
            <w:shd w:val="clear" w:color="auto" w:fill="auto"/>
            <w:noWrap/>
            <w:vAlign w:val="bottom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  <w:b/>
                <w:bCs/>
              </w:rPr>
            </w:pPr>
            <w:r w:rsidRPr="00695C6E">
              <w:rPr>
                <w:rFonts w:ascii="PT Astra Serif" w:hAnsi="PT Astra Serif" w:cs="Calibri"/>
                <w:b/>
                <w:bCs/>
              </w:rPr>
              <w:t> </w:t>
            </w:r>
          </w:p>
        </w:tc>
      </w:tr>
      <w:tr w:rsidR="00695C6E" w:rsidRPr="00695C6E" w:rsidTr="00695C6E">
        <w:trPr>
          <w:cantSplit/>
          <w:trHeight w:val="20"/>
        </w:trPr>
        <w:tc>
          <w:tcPr>
            <w:tcW w:w="1064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эффективные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1</w:t>
            </w:r>
          </w:p>
        </w:tc>
        <w:tc>
          <w:tcPr>
            <w:tcW w:w="36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204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0</w:t>
            </w:r>
          </w:p>
        </w:tc>
        <w:tc>
          <w:tcPr>
            <w:tcW w:w="545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204</w:t>
            </w:r>
          </w:p>
        </w:tc>
        <w:tc>
          <w:tcPr>
            <w:tcW w:w="2381" w:type="pct"/>
            <w:vMerge w:val="restart"/>
            <w:shd w:val="clear" w:color="auto" w:fill="auto"/>
            <w:vAlign w:val="center"/>
          </w:tcPr>
          <w:p w:rsidR="00695C6E" w:rsidRPr="00695C6E" w:rsidRDefault="00695C6E" w:rsidP="007B6AC6">
            <w:pPr>
              <w:ind w:left="-57" w:right="-57"/>
              <w:jc w:val="both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 xml:space="preserve">Льготы по итогам 2023 года признаны эффективными по  установленным Постановлением Правительства РФ от 22.06.2019 №796 критериям оценки: востребованы, соответствуют целям государственной программы и обеспечивают достижения её  показателей, при этом применение альтернативного метода государственной поддержки увеличит расходы бюджета. </w:t>
            </w:r>
          </w:p>
        </w:tc>
      </w:tr>
      <w:tr w:rsidR="00695C6E" w:rsidRPr="00695C6E" w:rsidTr="00695C6E">
        <w:trPr>
          <w:cantSplit/>
          <w:trHeight w:val="1541"/>
        </w:trPr>
        <w:tc>
          <w:tcPr>
            <w:tcW w:w="1064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неэффективные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0</w:t>
            </w:r>
          </w:p>
        </w:tc>
        <w:tc>
          <w:tcPr>
            <w:tcW w:w="36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0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0</w:t>
            </w:r>
          </w:p>
        </w:tc>
        <w:tc>
          <w:tcPr>
            <w:tcW w:w="545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0</w:t>
            </w:r>
          </w:p>
        </w:tc>
        <w:tc>
          <w:tcPr>
            <w:tcW w:w="2381" w:type="pct"/>
            <w:vMerge/>
            <w:shd w:val="clear" w:color="auto" w:fill="auto"/>
            <w:vAlign w:val="center"/>
          </w:tcPr>
          <w:p w:rsidR="00695C6E" w:rsidRPr="00695C6E" w:rsidRDefault="00695C6E" w:rsidP="007B6AC6">
            <w:pPr>
              <w:ind w:left="-57" w:right="-57"/>
              <w:rPr>
                <w:rFonts w:ascii="PT Astra Serif" w:hAnsi="PT Astra Serif" w:cs="Calibri"/>
              </w:rPr>
            </w:pPr>
          </w:p>
        </w:tc>
      </w:tr>
      <w:tr w:rsidR="00695C6E" w:rsidRPr="00695C6E" w:rsidTr="00695C6E">
        <w:trPr>
          <w:cantSplit/>
          <w:trHeight w:val="569"/>
        </w:trPr>
        <w:tc>
          <w:tcPr>
            <w:tcW w:w="1064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  <w:b/>
                <w:bCs/>
              </w:rPr>
            </w:pPr>
            <w:r w:rsidRPr="00695C6E">
              <w:rPr>
                <w:rFonts w:ascii="PT Astra Serif" w:hAnsi="PT Astra Serif" w:cs="Calibri"/>
                <w:b/>
                <w:bCs/>
              </w:rPr>
              <w:lastRenderedPageBreak/>
              <w:t>УСН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  <w:b/>
                <w:bCs/>
              </w:rPr>
            </w:pPr>
            <w:r w:rsidRPr="00695C6E">
              <w:rPr>
                <w:rFonts w:ascii="PT Astra Serif" w:hAnsi="PT Astra Serif" w:cs="Calibri"/>
                <w:b/>
                <w:bCs/>
              </w:rPr>
              <w:t>9</w:t>
            </w:r>
          </w:p>
        </w:tc>
        <w:tc>
          <w:tcPr>
            <w:tcW w:w="36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  <w:b/>
                <w:bCs/>
              </w:rPr>
            </w:pPr>
            <w:r w:rsidRPr="00695C6E">
              <w:rPr>
                <w:rFonts w:ascii="PT Astra Serif" w:hAnsi="PT Astra Serif" w:cs="Calibri"/>
                <w:b/>
                <w:bCs/>
              </w:rPr>
              <w:t>816 416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  <w:b/>
                <w:bCs/>
              </w:rPr>
            </w:pPr>
            <w:r w:rsidRPr="00695C6E">
              <w:rPr>
                <w:rFonts w:ascii="PT Astra Serif" w:hAnsi="PT Astra Serif" w:cs="Calibri"/>
                <w:b/>
                <w:bCs/>
              </w:rPr>
              <w:t>0</w:t>
            </w:r>
          </w:p>
        </w:tc>
        <w:tc>
          <w:tcPr>
            <w:tcW w:w="545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  <w:b/>
                <w:bCs/>
              </w:rPr>
            </w:pPr>
            <w:r w:rsidRPr="00695C6E">
              <w:rPr>
                <w:rFonts w:ascii="PT Astra Serif" w:hAnsi="PT Astra Serif" w:cs="Calibri"/>
                <w:b/>
                <w:bCs/>
              </w:rPr>
              <w:t>816 416</w:t>
            </w:r>
          </w:p>
        </w:tc>
        <w:tc>
          <w:tcPr>
            <w:tcW w:w="2381" w:type="pct"/>
            <w:shd w:val="clear" w:color="auto" w:fill="auto"/>
            <w:noWrap/>
            <w:vAlign w:val="bottom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  <w:b/>
                <w:bCs/>
              </w:rPr>
            </w:pPr>
            <w:r w:rsidRPr="00695C6E">
              <w:rPr>
                <w:rFonts w:ascii="PT Astra Serif" w:hAnsi="PT Astra Serif" w:cs="Calibri"/>
                <w:b/>
                <w:bCs/>
              </w:rPr>
              <w:t> </w:t>
            </w:r>
          </w:p>
        </w:tc>
      </w:tr>
      <w:tr w:rsidR="00695C6E" w:rsidRPr="00695C6E" w:rsidTr="00695C6E">
        <w:trPr>
          <w:cantSplit/>
          <w:trHeight w:val="20"/>
        </w:trPr>
        <w:tc>
          <w:tcPr>
            <w:tcW w:w="1064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эффективные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4</w:t>
            </w:r>
          </w:p>
        </w:tc>
        <w:tc>
          <w:tcPr>
            <w:tcW w:w="36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816 416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0</w:t>
            </w:r>
          </w:p>
        </w:tc>
        <w:tc>
          <w:tcPr>
            <w:tcW w:w="545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816 416</w:t>
            </w:r>
          </w:p>
        </w:tc>
        <w:tc>
          <w:tcPr>
            <w:tcW w:w="2381" w:type="pct"/>
            <w:vMerge w:val="restart"/>
            <w:shd w:val="clear" w:color="auto" w:fill="auto"/>
            <w:vAlign w:val="center"/>
          </w:tcPr>
          <w:p w:rsidR="00695C6E" w:rsidRPr="00695C6E" w:rsidRDefault="00695C6E" w:rsidP="007B6AC6">
            <w:pPr>
              <w:ind w:left="-57" w:right="-57"/>
              <w:jc w:val="both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 xml:space="preserve">Льготы по итогам 2022 года признаны эффективными по  установленным Постановлением Правительства РФ от 22.06.2019 №796 критериям оценки: востребованы, соответствуют целям государственной программы и обеспечивают достижения её  показателей, при этом применение альтернативного метода государственной поддержки увеличит расходы бюджета. </w:t>
            </w:r>
          </w:p>
        </w:tc>
      </w:tr>
      <w:tr w:rsidR="00695C6E" w:rsidRPr="00695C6E" w:rsidTr="00695C6E">
        <w:trPr>
          <w:cantSplit/>
          <w:trHeight w:val="20"/>
        </w:trPr>
        <w:tc>
          <w:tcPr>
            <w:tcW w:w="1064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неэффективные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0</w:t>
            </w:r>
          </w:p>
        </w:tc>
        <w:tc>
          <w:tcPr>
            <w:tcW w:w="36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0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0</w:t>
            </w:r>
          </w:p>
        </w:tc>
        <w:tc>
          <w:tcPr>
            <w:tcW w:w="545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0</w:t>
            </w:r>
          </w:p>
        </w:tc>
        <w:tc>
          <w:tcPr>
            <w:tcW w:w="2381" w:type="pct"/>
            <w:vMerge/>
            <w:shd w:val="clear" w:color="auto" w:fill="auto"/>
            <w:vAlign w:val="center"/>
          </w:tcPr>
          <w:p w:rsidR="00695C6E" w:rsidRPr="00695C6E" w:rsidRDefault="00695C6E" w:rsidP="007B6AC6">
            <w:pPr>
              <w:ind w:left="-57" w:right="-57"/>
              <w:rPr>
                <w:rFonts w:ascii="PT Astra Serif" w:hAnsi="PT Astra Serif" w:cs="Calibri"/>
              </w:rPr>
            </w:pPr>
          </w:p>
        </w:tc>
      </w:tr>
      <w:tr w:rsidR="00695C6E" w:rsidRPr="00695C6E" w:rsidTr="00695C6E">
        <w:trPr>
          <w:cantSplit/>
          <w:trHeight w:val="20"/>
        </w:trPr>
        <w:tc>
          <w:tcPr>
            <w:tcW w:w="1064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оценка эффективности не проводилась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5</w:t>
            </w:r>
          </w:p>
        </w:tc>
        <w:tc>
          <w:tcPr>
            <w:tcW w:w="36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0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0</w:t>
            </w:r>
          </w:p>
        </w:tc>
        <w:tc>
          <w:tcPr>
            <w:tcW w:w="545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0</w:t>
            </w:r>
          </w:p>
        </w:tc>
        <w:tc>
          <w:tcPr>
            <w:tcW w:w="2381" w:type="pct"/>
            <w:shd w:val="clear" w:color="auto" w:fill="auto"/>
            <w:vAlign w:val="center"/>
          </w:tcPr>
          <w:p w:rsidR="00695C6E" w:rsidRPr="00695C6E" w:rsidRDefault="00695C6E" w:rsidP="007B6AC6">
            <w:pPr>
              <w:ind w:left="-57" w:right="-57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Льготы введены в 2024 году.</w:t>
            </w:r>
          </w:p>
        </w:tc>
      </w:tr>
      <w:tr w:rsidR="00695C6E" w:rsidRPr="00695C6E" w:rsidTr="00695C6E">
        <w:trPr>
          <w:cantSplit/>
          <w:trHeight w:val="478"/>
        </w:trPr>
        <w:tc>
          <w:tcPr>
            <w:tcW w:w="1064" w:type="pct"/>
            <w:shd w:val="clear" w:color="auto" w:fill="auto"/>
            <w:noWrap/>
            <w:vAlign w:val="bottom"/>
          </w:tcPr>
          <w:p w:rsidR="00695C6E" w:rsidRPr="00695C6E" w:rsidRDefault="00695C6E" w:rsidP="007B6AC6">
            <w:pPr>
              <w:ind w:left="-57" w:right="-57"/>
              <w:rPr>
                <w:rFonts w:ascii="PT Astra Serif" w:hAnsi="PT Astra Serif" w:cs="Calibri"/>
                <w:b/>
                <w:bCs/>
              </w:rPr>
            </w:pPr>
            <w:r w:rsidRPr="00695C6E">
              <w:rPr>
                <w:rFonts w:ascii="PT Astra Serif" w:hAnsi="PT Astra Serif" w:cs="Calibri"/>
                <w:b/>
                <w:bCs/>
              </w:rPr>
              <w:t xml:space="preserve">ИТОГО, в </w:t>
            </w:r>
            <w:proofErr w:type="spellStart"/>
            <w:r w:rsidRPr="00695C6E">
              <w:rPr>
                <w:rFonts w:ascii="PT Astra Serif" w:hAnsi="PT Astra Serif" w:cs="Calibri"/>
                <w:b/>
                <w:bCs/>
              </w:rPr>
              <w:t>т.ч</w:t>
            </w:r>
            <w:proofErr w:type="spellEnd"/>
            <w:r w:rsidRPr="00695C6E">
              <w:rPr>
                <w:rFonts w:ascii="PT Astra Serif" w:hAnsi="PT Astra Serif" w:cs="Calibri"/>
                <w:b/>
                <w:bCs/>
              </w:rPr>
              <w:t>.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  <w:b/>
                <w:bCs/>
              </w:rPr>
            </w:pPr>
            <w:r w:rsidRPr="00695C6E">
              <w:rPr>
                <w:rFonts w:ascii="PT Astra Serif" w:hAnsi="PT Astra Serif" w:cs="Calibri"/>
                <w:b/>
                <w:bCs/>
              </w:rPr>
              <w:t>55</w:t>
            </w:r>
          </w:p>
        </w:tc>
        <w:tc>
          <w:tcPr>
            <w:tcW w:w="36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  <w:b/>
                <w:bCs/>
              </w:rPr>
            </w:pPr>
            <w:r w:rsidRPr="00695C6E">
              <w:rPr>
                <w:rFonts w:ascii="PT Astra Serif" w:hAnsi="PT Astra Serif" w:cs="Calibri"/>
                <w:b/>
                <w:bCs/>
              </w:rPr>
              <w:t>1 335 971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  <w:b/>
                <w:bCs/>
              </w:rPr>
            </w:pPr>
            <w:r w:rsidRPr="00695C6E">
              <w:rPr>
                <w:rFonts w:ascii="PT Astra Serif" w:hAnsi="PT Astra Serif" w:cs="Calibri"/>
                <w:b/>
                <w:bCs/>
              </w:rPr>
              <w:t>33 325</w:t>
            </w:r>
          </w:p>
        </w:tc>
        <w:tc>
          <w:tcPr>
            <w:tcW w:w="545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  <w:b/>
                <w:bCs/>
              </w:rPr>
            </w:pPr>
            <w:r w:rsidRPr="00695C6E">
              <w:rPr>
                <w:rFonts w:ascii="PT Astra Serif" w:hAnsi="PT Astra Serif" w:cs="Calibri"/>
                <w:b/>
                <w:bCs/>
              </w:rPr>
              <w:t>1 302 646</w:t>
            </w:r>
          </w:p>
        </w:tc>
        <w:tc>
          <w:tcPr>
            <w:tcW w:w="2381" w:type="pct"/>
            <w:shd w:val="clear" w:color="auto" w:fill="auto"/>
            <w:noWrap/>
            <w:vAlign w:val="bottom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 </w:t>
            </w:r>
          </w:p>
        </w:tc>
      </w:tr>
      <w:tr w:rsidR="00695C6E" w:rsidRPr="00695C6E" w:rsidTr="00695C6E">
        <w:trPr>
          <w:cantSplit/>
          <w:trHeight w:val="20"/>
        </w:trPr>
        <w:tc>
          <w:tcPr>
            <w:tcW w:w="1064" w:type="pct"/>
            <w:shd w:val="clear" w:color="auto" w:fill="auto"/>
            <w:noWrap/>
            <w:vAlign w:val="bottom"/>
          </w:tcPr>
          <w:p w:rsidR="00695C6E" w:rsidRPr="00695C6E" w:rsidRDefault="00695C6E" w:rsidP="007B6AC6">
            <w:pPr>
              <w:ind w:left="-57" w:right="-57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неэффективные</w:t>
            </w:r>
          </w:p>
        </w:tc>
        <w:tc>
          <w:tcPr>
            <w:tcW w:w="24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5</w:t>
            </w:r>
          </w:p>
        </w:tc>
        <w:tc>
          <w:tcPr>
            <w:tcW w:w="361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0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0</w:t>
            </w:r>
          </w:p>
        </w:tc>
        <w:tc>
          <w:tcPr>
            <w:tcW w:w="545" w:type="pct"/>
            <w:shd w:val="clear" w:color="auto" w:fill="auto"/>
            <w:noWrap/>
            <w:vAlign w:val="center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0</w:t>
            </w:r>
          </w:p>
        </w:tc>
        <w:tc>
          <w:tcPr>
            <w:tcW w:w="2381" w:type="pct"/>
            <w:shd w:val="clear" w:color="auto" w:fill="auto"/>
            <w:noWrap/>
            <w:vAlign w:val="bottom"/>
          </w:tcPr>
          <w:p w:rsidR="00695C6E" w:rsidRPr="00695C6E" w:rsidRDefault="00695C6E" w:rsidP="007B6AC6">
            <w:pPr>
              <w:ind w:left="-57" w:right="-57"/>
              <w:jc w:val="center"/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 </w:t>
            </w:r>
          </w:p>
        </w:tc>
      </w:tr>
      <w:tr w:rsidR="00695C6E" w:rsidRPr="00695C6E" w:rsidTr="00695C6E">
        <w:trPr>
          <w:cantSplit/>
          <w:trHeight w:val="1268"/>
        </w:trPr>
        <w:tc>
          <w:tcPr>
            <w:tcW w:w="5000" w:type="pct"/>
            <w:gridSpan w:val="6"/>
            <w:shd w:val="clear" w:color="auto" w:fill="auto"/>
          </w:tcPr>
          <w:p w:rsidR="00695C6E" w:rsidRPr="00695C6E" w:rsidRDefault="00695C6E" w:rsidP="007B6AC6">
            <w:pPr>
              <w:rPr>
                <w:rFonts w:ascii="PT Astra Serif" w:hAnsi="PT Astra Serif" w:cs="Calibri"/>
              </w:rPr>
            </w:pPr>
          </w:p>
          <w:p w:rsidR="00695C6E" w:rsidRPr="00695C6E" w:rsidRDefault="00695C6E" w:rsidP="007B6AC6">
            <w:pPr>
              <w:rPr>
                <w:rFonts w:ascii="PT Astra Serif" w:hAnsi="PT Astra Serif" w:cs="Calibri"/>
              </w:rPr>
            </w:pPr>
            <w:r w:rsidRPr="00695C6E">
              <w:rPr>
                <w:rFonts w:ascii="PT Astra Serif" w:hAnsi="PT Astra Serif" w:cs="Calibri"/>
              </w:rPr>
              <w:t>*бюджетный эффект в соответствии с Постановлением Правительства РФ от 22.06.2019 № 796 рассчитывается только в отношении стимулирующих льгот по налогу на прибыль организаций  и налогу на имущество организаций</w:t>
            </w:r>
          </w:p>
        </w:tc>
      </w:tr>
    </w:tbl>
    <w:p w:rsidR="00695C6E" w:rsidRDefault="00695C6E"/>
    <w:sectPr w:rsidR="00695C6E" w:rsidSect="00695C6E">
      <w:headerReference w:type="default" r:id="rId8"/>
      <w:pgSz w:w="16838" w:h="11906" w:orient="landscape"/>
      <w:pgMar w:top="1134" w:right="567" w:bottom="1134" w:left="567" w:header="709" w:footer="709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3B9" w:rsidRDefault="00F863B9" w:rsidP="00F863B9">
      <w:r>
        <w:separator/>
      </w:r>
    </w:p>
  </w:endnote>
  <w:endnote w:type="continuationSeparator" w:id="0">
    <w:p w:rsidR="00F863B9" w:rsidRDefault="00F863B9" w:rsidP="00F86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3B9" w:rsidRDefault="00F863B9" w:rsidP="00F863B9">
      <w:r>
        <w:separator/>
      </w:r>
    </w:p>
  </w:footnote>
  <w:footnote w:type="continuationSeparator" w:id="0">
    <w:p w:rsidR="00F863B9" w:rsidRDefault="00F863B9" w:rsidP="00F863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376491"/>
      <w:docPartObj>
        <w:docPartGallery w:val="Page Numbers (Top of Page)"/>
        <w:docPartUnique/>
      </w:docPartObj>
    </w:sdtPr>
    <w:sdtEndPr/>
    <w:sdtContent>
      <w:p w:rsidR="00F863B9" w:rsidRDefault="00F863B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7D29">
          <w:rPr>
            <w:noProof/>
          </w:rPr>
          <w:t>23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357"/>
    <w:rsid w:val="00101E5F"/>
    <w:rsid w:val="00252779"/>
    <w:rsid w:val="00695C6E"/>
    <w:rsid w:val="00923032"/>
    <w:rsid w:val="009B2F2F"/>
    <w:rsid w:val="00C27D29"/>
    <w:rsid w:val="00EC6357"/>
    <w:rsid w:val="00F86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101E5F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101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863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863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863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863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27D2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27D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101E5F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101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863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863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863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863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27D2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27D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924D4-ECB9-49BA-90CD-3AE74FAC9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Гаврилюк Вероника Александровна (eva)</dc:creator>
  <cp:lastModifiedBy>Якубович Оксана Анатольевна (yoa)</cp:lastModifiedBy>
  <cp:revision>5</cp:revision>
  <cp:lastPrinted>2025-09-24T07:38:00Z</cp:lastPrinted>
  <dcterms:created xsi:type="dcterms:W3CDTF">2025-09-24T05:16:00Z</dcterms:created>
  <dcterms:modified xsi:type="dcterms:W3CDTF">2025-09-24T07:38:00Z</dcterms:modified>
</cp:coreProperties>
</file>